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4B5" w14:textId="77777777" w:rsidR="00290E56" w:rsidRPr="00747EF0" w:rsidRDefault="00290E56" w:rsidP="00290E56">
      <w:pPr>
        <w:pStyle w:val="Kopfzeile"/>
        <w:jc w:val="both"/>
        <w:rPr>
          <w:rFonts w:ascii="ConduitITC-Bold" w:hAnsi="ConduitITC-Bold" w:cs="ConduitITC-Bold"/>
          <w:b/>
          <w:bCs/>
          <w:smallCaps/>
          <w:color w:val="006FC1"/>
          <w:sz w:val="42"/>
          <w:szCs w:val="42"/>
        </w:rPr>
      </w:pPr>
      <w:r w:rsidRPr="00747EF0">
        <w:rPr>
          <w:rFonts w:ascii="ConduitITC-Bold" w:hAnsi="ConduitITC-Bold" w:cs="ConduitITC-Bold"/>
          <w:b/>
          <w:bCs/>
          <w:smallCaps/>
          <w:color w:val="006FC1"/>
          <w:sz w:val="42"/>
          <w:szCs w:val="42"/>
        </w:rPr>
        <w:t>W</w:t>
      </w:r>
      <w:r>
        <w:rPr>
          <w:rFonts w:ascii="ConduitITC-Bold" w:hAnsi="ConduitITC-Bold" w:cs="ConduitITC-Bold"/>
          <w:b/>
          <w:bCs/>
          <w:smallCaps/>
          <w:color w:val="006FC1"/>
          <w:sz w:val="42"/>
          <w:szCs w:val="42"/>
        </w:rPr>
        <w:t>ille des Kindes</w:t>
      </w:r>
      <w:r w:rsidRPr="00747EF0">
        <w:rPr>
          <w:rFonts w:ascii="ConduitITC-Bold" w:hAnsi="ConduitITC-Bold" w:cs="ConduitITC-Bold"/>
          <w:b/>
          <w:bCs/>
          <w:smallCaps/>
          <w:color w:val="006FC1"/>
          <w:sz w:val="42"/>
          <w:szCs w:val="42"/>
        </w:rPr>
        <w:t xml:space="preserve"> </w:t>
      </w:r>
    </w:p>
    <w:p w14:paraId="7989C4B6" w14:textId="77777777" w:rsidR="00290E56" w:rsidRPr="00111045" w:rsidRDefault="00290E56" w:rsidP="00290E56">
      <w:pPr>
        <w:pStyle w:val="Kopfzeile"/>
        <w:rPr>
          <w:rFonts w:cs="ConduitITC-Bold"/>
          <w:bCs/>
          <w:i/>
          <w:color w:val="006FC1"/>
          <w:sz w:val="36"/>
          <w:szCs w:val="42"/>
        </w:rPr>
      </w:pPr>
      <w:r>
        <w:rPr>
          <w:rFonts w:cs="ConduitITC-Bold"/>
          <w:bCs/>
          <w:i/>
          <w:color w:val="006FC1"/>
          <w:sz w:val="36"/>
          <w:szCs w:val="42"/>
        </w:rPr>
        <w:t>Das Recht wütend zu sein</w:t>
      </w:r>
    </w:p>
    <w:p w14:paraId="7989C4B7" w14:textId="77777777" w:rsidR="00290E56" w:rsidRDefault="00290E56" w:rsidP="00290E56">
      <w:pPr>
        <w:spacing w:after="0" w:line="240" w:lineRule="auto"/>
        <w:rPr>
          <w:rFonts w:ascii="Arial" w:eastAsia="Times New Roman" w:hAnsi="Arial" w:cs="Arial"/>
          <w:lang w:eastAsia="de-DE"/>
        </w:rPr>
      </w:pPr>
    </w:p>
    <w:p w14:paraId="7989C4B8"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„Heute nehme ich zwei Joghurts mit in den Kindergarten.“ Bjarne steht am geöffneten Kühlschrank und seine Augen verraten: Das ist ein Test. Gelingt es ihm, zukünftig den Inhalt seiner Frühstücksdose selbst zu bestimmen? Susanne kennt ihren Sohn und weiß, was sie jetzt zu erwarten hat: Das gesamte Repertoire, das der Vierjährige meisterlich beherrscht, um seinen Willen durchzusetzen. Es reicht von einem einschmeichelnden „Bitte, Mama!“ über das Mimen von Mitleid erregender Zerknirschung bis zum letzten Mittel: „Terror“. Mit Gekreisch und Getrampel.</w:t>
      </w:r>
    </w:p>
    <w:p w14:paraId="7989C4B9" w14:textId="77777777" w:rsidR="00290E56" w:rsidRPr="00747EF0" w:rsidRDefault="00290E56" w:rsidP="00290E56">
      <w:pPr>
        <w:spacing w:before="120" w:after="0" w:line="240" w:lineRule="auto"/>
        <w:jc w:val="both"/>
        <w:rPr>
          <w:rFonts w:eastAsia="Times New Roman" w:cstheme="minorHAnsi"/>
          <w:b/>
          <w:lang w:eastAsia="de-DE"/>
        </w:rPr>
      </w:pPr>
      <w:r w:rsidRPr="00747EF0">
        <w:rPr>
          <w:rFonts w:eastAsia="Times New Roman" w:cstheme="minorHAnsi"/>
          <w:b/>
          <w:lang w:eastAsia="de-DE"/>
        </w:rPr>
        <w:t>Der Aufstand der Zwerge</w:t>
      </w:r>
    </w:p>
    <w:p w14:paraId="7989C4BA"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Ein Joghurt oder zwei? Es geht um nichts und dennoch geht es um alles an diesem Morgen vor dem Kühlschrank: Was wird der nächste Anlass sein für Bjarnes Trotzanfälle? Was, fragt sich die Mutter, wird ihr Sohn erst mit vierzehn anstellen? Susanne will aus einem Fruchtzwerg keinen Elefanten machen. Doch sie weiß, dass es nicht gut ist, Bjarne zu sehr zu verwöhnen und er lernen muss, dass er seinen Willen nicht immer durchsetzen kann. Zum Glück hat sie an diesem Morgen Spätschicht und Zeit, mit ihrem Sohn die Joghurt-Sache in Ruhe zu klären.</w:t>
      </w:r>
    </w:p>
    <w:p w14:paraId="7989C4BB" w14:textId="77777777" w:rsidR="00290E56" w:rsidRPr="00747EF0" w:rsidRDefault="00290E56" w:rsidP="00290E56">
      <w:pPr>
        <w:spacing w:before="120" w:after="0" w:line="240" w:lineRule="auto"/>
        <w:jc w:val="both"/>
        <w:rPr>
          <w:rFonts w:eastAsia="Times New Roman" w:cstheme="minorHAnsi"/>
          <w:b/>
          <w:lang w:eastAsia="de-DE"/>
        </w:rPr>
      </w:pPr>
      <w:r w:rsidRPr="00747EF0">
        <w:rPr>
          <w:rFonts w:eastAsia="Times New Roman" w:cstheme="minorHAnsi"/>
          <w:b/>
          <w:lang w:eastAsia="de-DE"/>
        </w:rPr>
        <w:t>Kinder brauchen Grenzen</w:t>
      </w:r>
    </w:p>
    <w:p w14:paraId="7989C4BC"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Es ist wichtig, dass Kinder Grenzen kennen lernen. Deshalb ist es gut, wenn Eltern mit ihrem Kind klare Regeln vereinbaren, und es vorher weiß, wie weit es gehen darf. Sagt die Mutter zum Beispiel „Nein“, dann weiß Bjarne, dass hier eine Grenze ist: Der zweite Jogurt bleibt im Kühlschrank, es wird nicht weiter gequengelt. Genauso weiß der Vierjährige zum Beispiel, dass er die vielbefahrene Straße zum gegenüberliegenden Spielplatz noch nicht allein überqueren darf. Hält er sich nicht an die vereinbarten Regeln, muss er spüren, dass er etwas Verbotenes getan hat: Zum Beispiel fällt dann der geliebte Spielplatzbesuch an diesem Tag aus.</w:t>
      </w:r>
    </w:p>
    <w:p w14:paraId="7989C4BD"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 xml:space="preserve">Kindern fällt es leichter, mit den Menschen und der Welt auszukommen, wenn sie frühzeitig lernen, dass es nicht immer nach ihrem Willen geht. Gleichwohl sind das Entdecken und Durchsetzen des eigenen Willens wichtige Meilensteine der kindlichen Entwicklung. Die so genannte Trotzphase ist – wie später auch die Pubertät – eine ganz normale und sogar wichtige Phase auf dem Weg zur Selbständigkeit und Eigenverantwortung. (-&gt; Pubertät) Schon mit zehn oder zwölf Monaten beginnt ein Kind deutlich Wut und Ärger zu zeigen, wenn es nicht das bekommt, was es haben will. Lässt es sich in diesem Alter </w:t>
      </w:r>
      <w:proofErr w:type="gramStart"/>
      <w:r w:rsidRPr="00747EF0">
        <w:rPr>
          <w:rFonts w:eastAsia="Times New Roman" w:cstheme="minorHAnsi"/>
          <w:lang w:eastAsia="de-DE"/>
        </w:rPr>
        <w:t>noch relativ</w:t>
      </w:r>
      <w:proofErr w:type="gramEnd"/>
      <w:r w:rsidRPr="00747EF0">
        <w:rPr>
          <w:rFonts w:eastAsia="Times New Roman" w:cstheme="minorHAnsi"/>
          <w:lang w:eastAsia="de-DE"/>
        </w:rPr>
        <w:t xml:space="preserve"> leicht beruhigen, beginnt es ungefähr ab dem zweiten Lebensjahr immer stärker nach </w:t>
      </w:r>
      <w:r>
        <w:rPr>
          <w:rFonts w:eastAsia="Times New Roman" w:cstheme="minorHAnsi"/>
          <w:lang w:eastAsia="de-DE"/>
        </w:rPr>
        <w:t xml:space="preserve">Eigenständigkeit </w:t>
      </w:r>
      <w:r w:rsidRPr="00747EF0">
        <w:rPr>
          <w:rFonts w:eastAsia="Times New Roman" w:cstheme="minorHAnsi"/>
          <w:lang w:eastAsia="de-DE"/>
        </w:rPr>
        <w:t>zu streben. Der eigene Wille des Kindes erwacht, und das „Ich will“ oder „Nein“ werden mächtiger. Das Kind möchte nun die Welt erobern, und das Formulieren eigener Wünsche spiegelt das wachsende Selbstwertgefühl des Kindes wider.</w:t>
      </w:r>
    </w:p>
    <w:p w14:paraId="7989C4BE" w14:textId="77777777" w:rsidR="00290E56" w:rsidRPr="00747EF0" w:rsidRDefault="00290E56" w:rsidP="00290E56">
      <w:pPr>
        <w:spacing w:after="0" w:line="240" w:lineRule="auto"/>
        <w:jc w:val="both"/>
        <w:rPr>
          <w:rFonts w:eastAsia="Times New Roman" w:cstheme="minorHAnsi"/>
          <w:lang w:eastAsia="de-DE"/>
        </w:rPr>
      </w:pPr>
      <w:r w:rsidRPr="00747EF0">
        <w:rPr>
          <w:rFonts w:eastAsia="Times New Roman" w:cstheme="minorHAnsi"/>
          <w:lang w:eastAsia="de-DE"/>
        </w:rPr>
        <w:t>Die Erfahrung, mit seinen eigenen Interessen und Wünschen ernst genommen zu werden, sind prägend für die Zukunft eines Kindes. Eine besondere Rolle spielen dabei die Reaktionen der Eltern auf den erwachenden Kindeswillen. Im Idealfall erfahren Kinder zuhause, dass es gut ist, einen eigenen Willen zu haben, auch wenn dieser von dem anderer abweicht. Wenn sie etwas anderes wollen als ihre Eltern, wissen sie trotzdem, dass es nichts daran ändert, dass ihre Eltern sie lieben: Der geliebte Besuch des Spielplatzes ist zwar heute ausgefallen, den Gute-Nacht-Kuss von Papa und Mama gibt es trotzdem.</w:t>
      </w:r>
    </w:p>
    <w:p w14:paraId="7989C4BF" w14:textId="77777777" w:rsidR="00290E56" w:rsidRPr="00747EF0" w:rsidRDefault="00290E56" w:rsidP="00290E56">
      <w:pPr>
        <w:pStyle w:val="Kopfzeile"/>
        <w:spacing w:before="120"/>
        <w:jc w:val="right"/>
        <w:rPr>
          <w:rFonts w:cs="ConduitITC-Bold"/>
          <w:bCs/>
        </w:rPr>
      </w:pPr>
      <w:r w:rsidRPr="00747EF0">
        <w:rPr>
          <w:rFonts w:cs="ConduitITC-Bold"/>
          <w:bCs/>
          <w:color w:val="99CC33"/>
          <w:sz w:val="18"/>
          <w:szCs w:val="16"/>
        </w:rPr>
        <w:t>Aus: Kinderschutz ABC; Fachstelle Kinderschutz im Land Brandenburg – Start gGmbH</w:t>
      </w:r>
    </w:p>
    <w:p w14:paraId="7989C4C0" w14:textId="77777777" w:rsidR="00290E56" w:rsidRPr="009345C5" w:rsidRDefault="00290E56" w:rsidP="00290E56">
      <w:pPr>
        <w:spacing w:after="0" w:line="240" w:lineRule="auto"/>
        <w:rPr>
          <w:rFonts w:cs="ConduitITC-Bold"/>
          <w:bCs/>
          <w:color w:val="006FC1"/>
          <w:sz w:val="42"/>
          <w:szCs w:val="42"/>
        </w:rPr>
      </w:pPr>
      <w:r w:rsidRPr="009345C5">
        <w:rPr>
          <w:rFonts w:cs="ConduitITC-Bold"/>
          <w:bCs/>
          <w:color w:val="006FC1"/>
          <w:sz w:val="42"/>
          <w:szCs w:val="42"/>
        </w:rPr>
        <w:br w:type="page"/>
      </w:r>
    </w:p>
    <w:p w14:paraId="7989C4C1" w14:textId="77777777" w:rsidR="00290E56" w:rsidRPr="00747EF0" w:rsidRDefault="00290E56" w:rsidP="00290E56">
      <w:pPr>
        <w:pStyle w:val="Kopfzeile"/>
        <w:jc w:val="both"/>
        <w:rPr>
          <w:rFonts w:ascii="ConduitITC-Bold" w:hAnsi="ConduitITC-Bold" w:cs="ConduitITC-Bold"/>
          <w:b/>
          <w:bCs/>
          <w:smallCaps/>
          <w:color w:val="006FC1"/>
          <w:sz w:val="42"/>
          <w:szCs w:val="42"/>
        </w:rPr>
      </w:pPr>
      <w:r w:rsidRPr="00747EF0">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4C2" w14:textId="77777777" w:rsidR="00290E56" w:rsidRDefault="00290E56" w:rsidP="00290E56">
      <w:pPr>
        <w:pStyle w:val="Kopfzeile"/>
        <w:rPr>
          <w:rFonts w:ascii="ConduitITC-Bold" w:hAnsi="ConduitITC-Bold" w:cs="ConduitITC-Bold"/>
          <w:bCs/>
          <w:color w:val="006FC1"/>
          <w:sz w:val="32"/>
          <w:szCs w:val="32"/>
        </w:rPr>
      </w:pPr>
      <w:r w:rsidRPr="009345C5">
        <w:rPr>
          <w:rFonts w:cs="ConduitITC-Bold"/>
          <w:bCs/>
          <w:color w:val="006FC1"/>
          <w:sz w:val="36"/>
          <w:szCs w:val="36"/>
        </w:rPr>
        <w:t xml:space="preserve">zu </w:t>
      </w:r>
      <w:r w:rsidRPr="00B34D17">
        <w:rPr>
          <w:rFonts w:ascii="ConduitITC-Bold" w:hAnsi="ConduitITC-Bold" w:cs="ConduitITC-Bold"/>
          <w:bCs/>
          <w:color w:val="006FC1"/>
          <w:sz w:val="32"/>
          <w:szCs w:val="32"/>
        </w:rPr>
        <w:t>W</w:t>
      </w:r>
      <w:r>
        <w:rPr>
          <w:rFonts w:ascii="ConduitITC-Bold" w:hAnsi="ConduitITC-Bold" w:cs="ConduitITC-Bold"/>
          <w:bCs/>
          <w:color w:val="006FC1"/>
          <w:sz w:val="32"/>
          <w:szCs w:val="32"/>
        </w:rPr>
        <w:t>ille des Kindes</w:t>
      </w:r>
    </w:p>
    <w:p w14:paraId="7989C4C3" w14:textId="77777777" w:rsidR="00290E56" w:rsidRDefault="00290E56" w:rsidP="00290E56">
      <w:pPr>
        <w:pStyle w:val="Kopfzeile"/>
        <w:rPr>
          <w:rFonts w:ascii="ConduitITC-Bold" w:hAnsi="ConduitITC-Bold" w:cs="ConduitITC-Bold"/>
          <w:bCs/>
          <w:color w:val="006FC1"/>
          <w:sz w:val="32"/>
          <w:szCs w:val="32"/>
        </w:rPr>
      </w:pPr>
    </w:p>
    <w:p w14:paraId="7989C4C4" w14:textId="77777777" w:rsidR="00290E56" w:rsidRDefault="00290E56" w:rsidP="00290E56">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4C5" w14:textId="77777777" w:rsidR="00290E56" w:rsidRPr="00CF0D53" w:rsidRDefault="00290E56" w:rsidP="00290E56">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8" w:history="1">
        <w:r w:rsidRPr="00CF0D53">
          <w:rPr>
            <w:sz w:val="20"/>
          </w:rPr>
          <w:t>www.kiksup-familie.net</w:t>
        </w:r>
      </w:hyperlink>
      <w:r w:rsidRPr="00CF0D53">
        <w:rPr>
          <w:rFonts w:cstheme="minorHAnsi"/>
          <w:bCs/>
          <w:sz w:val="20"/>
        </w:rPr>
        <w:t xml:space="preserve"> </w:t>
      </w:r>
    </w:p>
    <w:p w14:paraId="7989C4C6" w14:textId="77777777" w:rsidR="00290E56" w:rsidRPr="00CF0D53" w:rsidRDefault="00290E56" w:rsidP="00290E56">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4C7" w14:textId="77777777" w:rsidR="00290E56" w:rsidRPr="00CF0D53" w:rsidRDefault="00290E56" w:rsidP="00290E56">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4C8" w14:textId="77777777" w:rsidR="00290E56" w:rsidRDefault="00290E56" w:rsidP="00290E56">
      <w:pPr>
        <w:pStyle w:val="Kopfzeile"/>
        <w:jc w:val="both"/>
        <w:rPr>
          <w:rFonts w:cstheme="minorHAnsi"/>
          <w:bCs/>
        </w:rPr>
      </w:pPr>
    </w:p>
    <w:p w14:paraId="7989C4C9" w14:textId="77777777" w:rsidR="00290E56" w:rsidRDefault="00290E56" w:rsidP="00290E56">
      <w:pPr>
        <w:pStyle w:val="Kopfzeile"/>
        <w:jc w:val="both"/>
        <w:rPr>
          <w:rFonts w:cstheme="minorHAnsi"/>
          <w:bCs/>
        </w:rPr>
      </w:pPr>
    </w:p>
    <w:p w14:paraId="7989C4CA" w14:textId="77777777" w:rsidR="00290E56" w:rsidRDefault="00290E56" w:rsidP="00290E56">
      <w:pPr>
        <w:pStyle w:val="Kopfzeile"/>
        <w:jc w:val="both"/>
        <w:rPr>
          <w:rFonts w:ascii="Calibri" w:hAnsi="Calibri" w:cs="Calibri"/>
        </w:rPr>
      </w:pPr>
      <w:r>
        <w:rPr>
          <w:rFonts w:ascii="Calibri" w:hAnsi="Calibri" w:cs="Calibri"/>
        </w:rPr>
        <w:t xml:space="preserve">Das Netzwerk KIKS UP-familie.net veranstaltet jedes Jahr am 25. September den </w:t>
      </w:r>
      <w:r w:rsidRPr="00BD71C8">
        <w:rPr>
          <w:rFonts w:ascii="Calibri" w:hAnsi="Calibri" w:cs="Calibri"/>
          <w:b/>
        </w:rPr>
        <w:t>Komplimente Tag</w:t>
      </w:r>
      <w:r>
        <w:rPr>
          <w:rFonts w:ascii="Calibri" w:hAnsi="Calibri" w:cs="Calibri"/>
        </w:rPr>
        <w:t xml:space="preserve">, der darauf </w:t>
      </w:r>
      <w:proofErr w:type="gramStart"/>
      <w:r>
        <w:rPr>
          <w:rFonts w:ascii="Calibri" w:hAnsi="Calibri" w:cs="Calibri"/>
        </w:rPr>
        <w:t>abzielt</w:t>
      </w:r>
      <w:proofErr w:type="gramEnd"/>
      <w:r>
        <w:rPr>
          <w:rFonts w:ascii="Calibri" w:hAnsi="Calibri" w:cs="Calibri"/>
        </w:rPr>
        <w:t xml:space="preserve"> anderen zu sagen, was einem an ihnen gefällt:</w:t>
      </w:r>
    </w:p>
    <w:p w14:paraId="7989C4CB" w14:textId="77777777" w:rsidR="00290E56" w:rsidRPr="0018487D" w:rsidRDefault="00290E56" w:rsidP="00290E56">
      <w:pPr>
        <w:pStyle w:val="Kopfzeile"/>
        <w:tabs>
          <w:tab w:val="left" w:pos="1843"/>
        </w:tabs>
        <w:spacing w:before="120"/>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Am Goldstein 9</w:t>
      </w:r>
      <w:r w:rsidRPr="0018487D">
        <w:rPr>
          <w:rFonts w:cstheme="minorHAnsi"/>
          <w:bCs/>
          <w:sz w:val="20"/>
        </w:rPr>
        <w:t>; 61</w:t>
      </w:r>
      <w:r>
        <w:rPr>
          <w:rFonts w:cstheme="minorHAnsi"/>
          <w:bCs/>
          <w:sz w:val="20"/>
        </w:rPr>
        <w:t>231 Bad Nauheim</w:t>
      </w:r>
    </w:p>
    <w:p w14:paraId="7989C4CC"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2</w:t>
      </w:r>
      <w:r w:rsidRPr="0018487D">
        <w:rPr>
          <w:rFonts w:cstheme="minorHAnsi"/>
          <w:bCs/>
          <w:sz w:val="20"/>
        </w:rPr>
        <w:t xml:space="preserve">) </w:t>
      </w:r>
      <w:r>
        <w:rPr>
          <w:rFonts w:cstheme="minorHAnsi"/>
          <w:bCs/>
          <w:sz w:val="20"/>
        </w:rPr>
        <w:t>92 55 04 0</w:t>
      </w:r>
    </w:p>
    <w:p w14:paraId="7989C4CD" w14:textId="77777777" w:rsidR="00290E56" w:rsidRDefault="00290E56" w:rsidP="00290E56">
      <w:pPr>
        <w:pStyle w:val="Kopfzeile"/>
        <w:ind w:left="1843" w:hanging="1276"/>
        <w:jc w:val="both"/>
        <w:rPr>
          <w:rFonts w:cstheme="minorHAnsi"/>
          <w:bCs/>
          <w:sz w:val="20"/>
        </w:rPr>
      </w:pPr>
      <w:proofErr w:type="gramStart"/>
      <w:r>
        <w:rPr>
          <w:rFonts w:cstheme="minorHAnsi"/>
          <w:bCs/>
          <w:sz w:val="20"/>
        </w:rPr>
        <w:t>Email</w:t>
      </w:r>
      <w:proofErr w:type="gramEnd"/>
      <w:r>
        <w:rPr>
          <w:rFonts w:cstheme="minorHAnsi"/>
          <w:bCs/>
          <w:sz w:val="20"/>
        </w:rPr>
        <w:t>:</w:t>
      </w:r>
      <w:r>
        <w:rPr>
          <w:rFonts w:cstheme="minorHAnsi"/>
          <w:bCs/>
          <w:sz w:val="20"/>
        </w:rPr>
        <w:tab/>
        <w:t>info@kiksup.de</w:t>
      </w:r>
    </w:p>
    <w:p w14:paraId="7989C4CE" w14:textId="77777777" w:rsidR="00290E56" w:rsidRDefault="00290E56" w:rsidP="00290E56">
      <w:pPr>
        <w:pStyle w:val="Kopfzeile"/>
        <w:ind w:left="1843" w:hanging="1276"/>
        <w:jc w:val="both"/>
        <w:rPr>
          <w:rFonts w:cstheme="minorHAnsi"/>
          <w:bCs/>
          <w:sz w:val="20"/>
        </w:rPr>
      </w:pPr>
      <w:r w:rsidRPr="00BD71C8">
        <w:rPr>
          <w:rFonts w:cstheme="minorHAnsi"/>
          <w:bCs/>
          <w:sz w:val="20"/>
        </w:rPr>
        <w:t>Internet:</w:t>
      </w:r>
      <w:r w:rsidRPr="00BD71C8">
        <w:rPr>
          <w:rFonts w:cstheme="minorHAnsi"/>
          <w:bCs/>
          <w:sz w:val="20"/>
        </w:rPr>
        <w:tab/>
        <w:t>www.kiksup.de</w:t>
      </w:r>
    </w:p>
    <w:p w14:paraId="7989C4CF" w14:textId="77777777" w:rsidR="00290E56" w:rsidRDefault="00290E56" w:rsidP="00290E56">
      <w:pPr>
        <w:pStyle w:val="Kopfzeile"/>
        <w:jc w:val="both"/>
        <w:rPr>
          <w:rFonts w:cstheme="minorHAnsi"/>
          <w:bCs/>
        </w:rPr>
      </w:pPr>
    </w:p>
    <w:p w14:paraId="7989C4D0" w14:textId="77777777" w:rsidR="00290E56" w:rsidRPr="00CB5A84" w:rsidRDefault="00290E56" w:rsidP="00290E56">
      <w:pPr>
        <w:pStyle w:val="Kopfzeile"/>
        <w:jc w:val="both"/>
        <w:rPr>
          <w:rFonts w:cstheme="minorHAnsi"/>
          <w:bCs/>
        </w:rPr>
      </w:pPr>
    </w:p>
    <w:p w14:paraId="7989C4D1" w14:textId="77777777" w:rsidR="00290E56" w:rsidRPr="0018487D" w:rsidRDefault="00290E56" w:rsidP="00290E56">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kann auch eine erste Adresse sein, um sich Rat zu holen. Das Elternbegleitbuch bietet zahlreiche Informationen zum Thema gesund Aufwachsen.</w:t>
      </w:r>
    </w:p>
    <w:p w14:paraId="7989C4D2" w14:textId="77777777" w:rsidR="00290E56" w:rsidRPr="0018487D" w:rsidRDefault="00290E56" w:rsidP="00290E56">
      <w:pPr>
        <w:pStyle w:val="Kopfzeile"/>
        <w:spacing w:before="120"/>
        <w:ind w:left="567"/>
        <w:jc w:val="both"/>
        <w:rPr>
          <w:rFonts w:cstheme="minorHAnsi"/>
          <w:b/>
          <w:bCs/>
          <w:sz w:val="20"/>
        </w:rPr>
      </w:pPr>
      <w:r w:rsidRPr="0018487D">
        <w:rPr>
          <w:rFonts w:cstheme="minorHAnsi"/>
          <w:b/>
          <w:bCs/>
          <w:sz w:val="20"/>
        </w:rPr>
        <w:t>Elternbegleitung von Anfang an</w:t>
      </w:r>
    </w:p>
    <w:p w14:paraId="7989C4D3"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Johannisstraße 5; 61231 Bad Nauheim</w:t>
      </w:r>
    </w:p>
    <w:p w14:paraId="7989C4D4"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4D5"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4D6" w14:textId="77777777" w:rsidR="00290E56" w:rsidRPr="0018487D" w:rsidRDefault="00290E56" w:rsidP="00290E56">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t>eva@bad-nauheim.de</w:t>
      </w:r>
    </w:p>
    <w:p w14:paraId="7989C4D7" w14:textId="77777777" w:rsidR="00290E56" w:rsidRPr="0018487D" w:rsidRDefault="00290E56" w:rsidP="00290E56">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4D8" w14:textId="77777777" w:rsidR="00290E56" w:rsidRPr="0018487D" w:rsidRDefault="00290E56" w:rsidP="00290E56">
      <w:pPr>
        <w:pStyle w:val="Kopfzeile"/>
        <w:jc w:val="both"/>
        <w:rPr>
          <w:rFonts w:cstheme="minorHAnsi"/>
          <w:bCs/>
        </w:rPr>
      </w:pPr>
    </w:p>
    <w:p w14:paraId="7989C4D9" w14:textId="77777777" w:rsidR="00290E56" w:rsidRDefault="00290E56" w:rsidP="00290E56">
      <w:pPr>
        <w:pStyle w:val="Kopfzeile"/>
        <w:jc w:val="both"/>
        <w:rPr>
          <w:rFonts w:cstheme="minorHAnsi"/>
          <w:bCs/>
        </w:rPr>
      </w:pPr>
    </w:p>
    <w:p w14:paraId="7989C4DA" w14:textId="77777777" w:rsidR="00290E56" w:rsidRDefault="00290E56" w:rsidP="00290E56">
      <w:pPr>
        <w:pStyle w:val="Kopfzeile"/>
        <w:jc w:val="both"/>
        <w:rPr>
          <w:rFonts w:cstheme="minorHAnsi"/>
          <w:bCs/>
        </w:rPr>
      </w:pPr>
      <w:r w:rsidRPr="00CB5A84">
        <w:rPr>
          <w:rFonts w:cstheme="minorHAnsi"/>
          <w:bCs/>
        </w:rPr>
        <w:t>Die Internetseiten des Familienhandbuches bieten Eltern Informationen u. a. über die kindliche Entwicklung, Familienleben und Aktivitäten mit Kindern:</w:t>
      </w:r>
    </w:p>
    <w:p w14:paraId="7989C4DB" w14:textId="77777777" w:rsidR="00290E56" w:rsidRPr="00990AED" w:rsidRDefault="00290E56" w:rsidP="00290E56">
      <w:pPr>
        <w:pStyle w:val="Kopfzeile"/>
        <w:spacing w:before="120"/>
        <w:ind w:left="567"/>
        <w:jc w:val="both"/>
        <w:rPr>
          <w:rFonts w:cstheme="minorHAnsi"/>
          <w:bCs/>
          <w:sz w:val="20"/>
        </w:rPr>
      </w:pPr>
      <w:r w:rsidRPr="00990AED">
        <w:rPr>
          <w:rFonts w:cstheme="minorHAnsi"/>
          <w:bCs/>
          <w:sz w:val="20"/>
        </w:rPr>
        <w:t>www.familienhandbuch.de</w:t>
      </w:r>
    </w:p>
    <w:p w14:paraId="7989C4DC" w14:textId="77777777" w:rsidR="00290E56" w:rsidRPr="00C13DA4" w:rsidRDefault="00290E56" w:rsidP="00290E56">
      <w:pPr>
        <w:pStyle w:val="Kopfzeile"/>
        <w:jc w:val="both"/>
        <w:rPr>
          <w:rFonts w:cstheme="minorHAnsi"/>
          <w:bCs/>
        </w:rPr>
      </w:pPr>
    </w:p>
    <w:p w14:paraId="7989C4DD" w14:textId="77777777" w:rsidR="00290E56" w:rsidRDefault="00290E56" w:rsidP="00290E56">
      <w:pPr>
        <w:pStyle w:val="Kopfzeile"/>
        <w:jc w:val="both"/>
        <w:rPr>
          <w:rFonts w:cstheme="minorHAnsi"/>
          <w:bCs/>
        </w:rPr>
      </w:pPr>
    </w:p>
    <w:p w14:paraId="7989C4DE" w14:textId="77777777" w:rsidR="00290E56" w:rsidRPr="0018487D" w:rsidRDefault="00290E56" w:rsidP="00290E56">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4DF" w14:textId="77777777" w:rsidR="00290E56" w:rsidRPr="0018487D" w:rsidRDefault="00290E56" w:rsidP="00290E56">
      <w:pPr>
        <w:pStyle w:val="Kopfzeile"/>
        <w:spacing w:before="120"/>
        <w:ind w:left="567"/>
        <w:jc w:val="both"/>
        <w:rPr>
          <w:rFonts w:cstheme="minorHAnsi"/>
          <w:bCs/>
          <w:sz w:val="20"/>
        </w:rPr>
      </w:pPr>
      <w:r w:rsidRPr="0018487D">
        <w:rPr>
          <w:rFonts w:cstheme="minorHAnsi"/>
          <w:bCs/>
          <w:sz w:val="20"/>
        </w:rPr>
        <w:t>www.wetteraukreis.de</w:t>
      </w:r>
    </w:p>
    <w:p w14:paraId="7989C4E0" w14:textId="77777777" w:rsidR="00290E56" w:rsidRPr="009E15C4" w:rsidRDefault="00290E56" w:rsidP="00290E56">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E1"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4E2" w14:textId="77777777" w:rsidR="00290E56" w:rsidRPr="0018487D" w:rsidRDefault="00290E56" w:rsidP="00290E56">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4E3" w14:textId="77777777" w:rsidR="00290E56" w:rsidRPr="0018487D" w:rsidRDefault="00290E56" w:rsidP="00290E56">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4E4" w14:textId="6EA5BE67" w:rsidR="0061457A" w:rsidRDefault="0061457A">
      <w:pPr>
        <w:rPr>
          <w:rFonts w:cs="ConduitITC-Bold"/>
          <w:bCs/>
          <w:sz w:val="20"/>
        </w:rPr>
      </w:pPr>
    </w:p>
    <w:sectPr w:rsidR="0061457A"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3341" w14:textId="77777777" w:rsidR="009E1C89" w:rsidRDefault="009E1C89" w:rsidP="007B13C3">
      <w:pPr>
        <w:spacing w:after="0" w:line="240" w:lineRule="auto"/>
      </w:pPr>
      <w:r>
        <w:separator/>
      </w:r>
    </w:p>
  </w:endnote>
  <w:endnote w:type="continuationSeparator" w:id="0">
    <w:p w14:paraId="35EAC4DD" w14:textId="77777777" w:rsidR="009E1C89" w:rsidRDefault="009E1C89"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CCBD8"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DF3E" w14:textId="77777777" w:rsidR="009E1C89" w:rsidRDefault="009E1C89" w:rsidP="007B13C3">
      <w:pPr>
        <w:spacing w:after="0" w:line="240" w:lineRule="auto"/>
      </w:pPr>
      <w:r>
        <w:separator/>
      </w:r>
    </w:p>
  </w:footnote>
  <w:footnote w:type="continuationSeparator" w:id="0">
    <w:p w14:paraId="58203B41" w14:textId="77777777" w:rsidR="009E1C89" w:rsidRDefault="009E1C89"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5CDD7"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814"/>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8D9"/>
    <w:rsid w:val="00546FEC"/>
    <w:rsid w:val="005553BF"/>
    <w:rsid w:val="005B6F54"/>
    <w:rsid w:val="005B7E05"/>
    <w:rsid w:val="005C5784"/>
    <w:rsid w:val="005C73CF"/>
    <w:rsid w:val="005D611B"/>
    <w:rsid w:val="005D7644"/>
    <w:rsid w:val="005E0DD2"/>
    <w:rsid w:val="00611404"/>
    <w:rsid w:val="0061457A"/>
    <w:rsid w:val="00620956"/>
    <w:rsid w:val="00651BAE"/>
    <w:rsid w:val="00675CEB"/>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1C8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5680C"/>
    <w:rsid w:val="00C7002C"/>
    <w:rsid w:val="00C73C77"/>
    <w:rsid w:val="00C759EF"/>
    <w:rsid w:val="00D0043C"/>
    <w:rsid w:val="00D12696"/>
    <w:rsid w:val="00D13D16"/>
    <w:rsid w:val="00D15A17"/>
    <w:rsid w:val="00D223AC"/>
    <w:rsid w:val="00D27A4B"/>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sup-famili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2022-09-13T12:55:00Z</dcterms:created>
  <dcterms:modified xsi:type="dcterms:W3CDTF">2022-09-13T13:43:00Z</dcterms:modified>
</cp:coreProperties>
</file>